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03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2F58F1" w:rsidRPr="003110F1" w:rsidTr="002F58F1">
        <w:tc>
          <w:tcPr>
            <w:tcW w:w="9571" w:type="dxa"/>
            <w:shd w:val="clear" w:color="auto" w:fill="E0E0E0"/>
          </w:tcPr>
          <w:p w:rsidR="002F58F1" w:rsidRPr="00C0654F" w:rsidRDefault="002F58F1" w:rsidP="002F58F1">
            <w:pPr>
              <w:spacing w:before="240"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1. Структура студијског програма</w:t>
            </w:r>
          </w:p>
          <w:p w:rsidR="002F58F1" w:rsidRPr="003110F1" w:rsidRDefault="002F58F1" w:rsidP="002F58F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Студијски програм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садржи елементе утврђене </w:t>
            </w:r>
            <w:r w:rsidRPr="003110F1">
              <w:rPr>
                <w:rFonts w:ascii="Arial" w:hAnsi="Arial" w:cs="Arial"/>
                <w:sz w:val="18"/>
                <w:szCs w:val="18"/>
              </w:rPr>
              <w:t>законом.</w:t>
            </w:r>
          </w:p>
        </w:tc>
      </w:tr>
      <w:tr w:rsidR="002F58F1" w:rsidRPr="003110F1" w:rsidTr="002F58F1">
        <w:tc>
          <w:tcPr>
            <w:tcW w:w="9571" w:type="dxa"/>
          </w:tcPr>
          <w:p w:rsidR="002F58F1" w:rsidRDefault="002F58F1" w:rsidP="002F58F1">
            <w:pPr>
              <w:widowControl/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sr-Cyrl-CS" w:eastAsia="en-US"/>
              </w:rPr>
              <w:t>Назив студијског програма ових специјалистичких академских студија је „</w:t>
            </w:r>
            <w:r w:rsidR="00900322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>
              <w:rPr>
                <w:rFonts w:ascii="Arial" w:hAnsi="Arial" w:cs="Arial"/>
                <w:sz w:val="18"/>
                <w:szCs w:val="18"/>
                <w:lang w:val="sr-Cyrl-CS" w:eastAsia="en-US"/>
              </w:rPr>
              <w:t>“. Општи део теоретске наставе садржи теме из поља техничко-технолошких наука. Студије су акад</w:t>
            </w:r>
            <w:r w:rsidR="005E2FBC">
              <w:rPr>
                <w:rFonts w:ascii="Arial" w:hAnsi="Arial" w:cs="Arial"/>
                <w:sz w:val="18"/>
                <w:szCs w:val="18"/>
                <w:lang w:val="sr-Cyrl-CS" w:eastAsia="en-US"/>
              </w:rPr>
              <w:t>е</w:t>
            </w:r>
            <w:r>
              <w:rPr>
                <w:rFonts w:ascii="Arial" w:hAnsi="Arial" w:cs="Arial"/>
                <w:sz w:val="18"/>
                <w:szCs w:val="18"/>
                <w:lang w:val="sr-Cyrl-CS" w:eastAsia="en-US"/>
              </w:rPr>
              <w:t>мског карактера.</w:t>
            </w:r>
          </w:p>
          <w:p w:rsidR="002F58F1" w:rsidRPr="00F57BC3" w:rsidRDefault="002F58F1" w:rsidP="002F58F1">
            <w:pPr>
              <w:widowControl/>
              <w:spacing w:after="240"/>
              <w:jc w:val="both"/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</w:pPr>
            <w:r w:rsidRPr="00DA2B58">
              <w:rPr>
                <w:rFonts w:ascii="Arial" w:eastAsia="ArialMT" w:hAnsi="Arial" w:cs="Arial"/>
                <w:sz w:val="18"/>
                <w:szCs w:val="18"/>
                <w:lang w:eastAsia="en-US"/>
              </w:rPr>
              <w:t>Укупно предвиђено трајање студија је једна година, односно 60 ЕСПБ.</w:t>
            </w:r>
            <w:r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 xml:space="preserve"> Настава је организована семестрално, у 2 семестра по 30 ЕСПБ по семестру</w:t>
            </w:r>
            <w:r w:rsidRPr="00F57BC3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, и то у 15 радних недеља активне наставе и 5 до 6 недеља пасивне наставе.</w:t>
            </w:r>
          </w:p>
          <w:p w:rsidR="002F58F1" w:rsidRPr="002E7A7F" w:rsidRDefault="002F58F1" w:rsidP="002F58F1">
            <w:pPr>
              <w:widowControl/>
              <w:spacing w:after="240"/>
              <w:jc w:val="both"/>
              <w:rPr>
                <w:rFonts w:ascii="Arial" w:hAnsi="Arial" w:cs="Arial"/>
                <w:sz w:val="18"/>
                <w:szCs w:val="18"/>
                <w:lang w:val="sr-Cyrl-CS" w:eastAsia="en-US"/>
              </w:rPr>
            </w:pPr>
            <w:r w:rsidRPr="00846251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По завршетку наставе и остварених 60 ЕСПБ студент стиче диплому и академски назив специјалиста инжењер архитектуре за </w:t>
            </w:r>
            <w:r w:rsidR="004470F8" w:rsidRPr="002E7A7F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грађење у наслеђу</w:t>
            </w:r>
            <w:r w:rsidRPr="002E7A7F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. </w:t>
            </w:r>
          </w:p>
          <w:p w:rsidR="002F58F1" w:rsidRPr="002E7A7F" w:rsidRDefault="002F58F1" w:rsidP="002F58F1">
            <w:pPr>
              <w:widowControl/>
              <w:spacing w:after="240"/>
              <w:jc w:val="both"/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</w:pP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Услови за упис на студијски програм су з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авршене </w:t>
            </w: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мастер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 академске студије архитектуре или других сродних области и остварено минимум 300 ЕСПБ бодова.</w:t>
            </w: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 xml:space="preserve"> 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Ранг листа за упис формира се на основу опште просечне оцене на основним и дипломским академским студијама</w:t>
            </w:r>
            <w:r w:rsidR="004470F8"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.</w:t>
            </w:r>
          </w:p>
          <w:p w:rsidR="002F58F1" w:rsidRPr="002E7A7F" w:rsidRDefault="002F58F1" w:rsidP="002F58F1">
            <w:pPr>
              <w:widowControl/>
              <w:spacing w:after="240"/>
              <w:jc w:val="both"/>
              <w:rPr>
                <w:rFonts w:ascii="Arial" w:eastAsia="ArialMT" w:hAnsi="Arial"/>
                <w:sz w:val="18"/>
                <w:szCs w:val="18"/>
                <w:lang w:val="sr-Cyrl-CS" w:eastAsia="en-US"/>
              </w:rPr>
            </w:pP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Студије се одвијају кроз академско-општеобразовну, теоријско-методолошку, научно-стручну и стручно-апликативну наставу.</w:t>
            </w:r>
          </w:p>
          <w:p w:rsidR="000D5BA9" w:rsidRPr="002E7A7F" w:rsidRDefault="002F58F1" w:rsidP="002F58F1">
            <w:pPr>
              <w:widowControl/>
              <w:spacing w:after="240"/>
              <w:jc w:val="both"/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</w:pP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 xml:space="preserve">Студенти у оквиру наставе имају обавезне и изборне предмете. Изборни предмети се бирају из групе предложених предмета. </w:t>
            </w:r>
          </w:p>
          <w:p w:rsidR="002F58F1" w:rsidRPr="002E7A7F" w:rsidRDefault="002F58F1" w:rsidP="002F58F1">
            <w:pPr>
              <w:widowControl/>
              <w:spacing w:after="240"/>
              <w:jc w:val="both"/>
              <w:rPr>
                <w:rFonts w:ascii="Arial" w:eastAsia="ArialMT" w:hAnsi="Arial"/>
                <w:sz w:val="18"/>
                <w:szCs w:val="18"/>
                <w:lang w:eastAsia="en-US"/>
              </w:rPr>
            </w:pP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Настава се остварује предавањима, вежбама, радом у студију, семинарима, консултацијама, образовно-научним, односно образовно-уметничким радом, менторским радом, стручном праксом и другим облицима</w:t>
            </w:r>
            <w:r w:rsidR="005F195C"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 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наставног и истраживачког рада.</w:t>
            </w:r>
          </w:p>
          <w:p w:rsidR="002F58F1" w:rsidRPr="002E7A7F" w:rsidRDefault="002F58F1" w:rsidP="002F58F1">
            <w:pPr>
              <w:widowControl/>
              <w:spacing w:after="240"/>
              <w:jc w:val="both"/>
              <w:rPr>
                <w:rFonts w:ascii="Arial" w:eastAsia="ArialMT" w:hAnsi="Arial" w:cs="Arial"/>
                <w:sz w:val="18"/>
                <w:szCs w:val="18"/>
                <w:lang w:eastAsia="en-US"/>
              </w:rPr>
            </w:pP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Наставни часови у табелама плана изражени су на следећи начин: </w:t>
            </w: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п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редавања + </w:t>
            </w: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в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ежбе или други облици наставе (семинари, радионице, пројектовање у студију). Фонд вежби се одвија у форми интерактивне наставе (заједно са</w:t>
            </w:r>
            <w:r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 xml:space="preserve"> 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предавањима).</w:t>
            </w:r>
          </w:p>
          <w:p w:rsidR="002F58F1" w:rsidRPr="00D612F7" w:rsidRDefault="002F58F1" w:rsidP="004470F8">
            <w:pPr>
              <w:spacing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Исход процеса учења је стицање адекватних знања, вештина и компетенција, као и професионалне квалификације која омогућава самостално и одговорно бављење архитектонском и инжењерском струком у домену пројектовања</w:t>
            </w:r>
            <w:r w:rsidR="00DA6628"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 xml:space="preserve"> </w:t>
            </w:r>
            <w:r w:rsidR="005F43BF"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 xml:space="preserve">и грађења </w:t>
            </w:r>
            <w:r w:rsidR="00DA6628" w:rsidRPr="002E7A7F">
              <w:rPr>
                <w:rFonts w:ascii="Arial" w:hAnsi="Arial" w:cs="Arial"/>
                <w:sz w:val="18"/>
                <w:szCs w:val="18"/>
                <w:lang w:val="sr-Cyrl-CS" w:eastAsia="en-US"/>
              </w:rPr>
              <w:t xml:space="preserve">у </w:t>
            </w:r>
            <w:r w:rsidR="007D66A3" w:rsidRPr="002E7A7F">
              <w:rPr>
                <w:rFonts w:ascii="Arial" w:hAnsi="Arial" w:cs="Arial"/>
                <w:sz w:val="18"/>
                <w:szCs w:val="18"/>
                <w:lang w:val="sr-Cyrl-CS" w:eastAsia="en-US"/>
              </w:rPr>
              <w:t>наслеђу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, </w:t>
            </w:r>
            <w:r w:rsidR="001C1DEF"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као и </w:t>
            </w:r>
            <w:r w:rsidR="009539B8" w:rsidRPr="002E7A7F">
              <w:rPr>
                <w:rFonts w:ascii="Arial" w:eastAsia="ArialMT" w:hAnsi="Arial" w:cs="Arial"/>
                <w:sz w:val="18"/>
                <w:szCs w:val="18"/>
                <w:lang w:val="sr-Cyrl-CS" w:eastAsia="en-US"/>
              </w:rPr>
              <w:t>заштите и презентације културног наслеђа</w:t>
            </w:r>
            <w:r w:rsidRPr="002E7A7F">
              <w:rPr>
                <w:rFonts w:ascii="Arial" w:eastAsia="ArialMT" w:hAnsi="Arial" w:cs="Arial"/>
                <w:sz w:val="18"/>
                <w:szCs w:val="18"/>
                <w:lang w:eastAsia="en-US"/>
              </w:rPr>
              <w:t>, а у складу</w:t>
            </w:r>
            <w:r w:rsidRPr="00AE3BDC">
              <w:rPr>
                <w:rFonts w:ascii="Arial" w:eastAsia="ArialMT" w:hAnsi="Arial" w:cs="Arial"/>
                <w:sz w:val="18"/>
                <w:szCs w:val="18"/>
                <w:lang w:eastAsia="en-US"/>
              </w:rPr>
              <w:t xml:space="preserve"> са националном и релевантном иностраном регулативом.</w:t>
            </w:r>
          </w:p>
        </w:tc>
      </w:tr>
      <w:tr w:rsidR="002F58F1" w:rsidRPr="003110F1" w:rsidTr="002F58F1">
        <w:tc>
          <w:tcPr>
            <w:tcW w:w="9571" w:type="dxa"/>
          </w:tcPr>
          <w:p w:rsidR="002F58F1" w:rsidRDefault="002F58F1" w:rsidP="002F58F1">
            <w:pPr>
              <w:spacing w:before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Евиденција: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</w:p>
          <w:p w:rsidR="002F58F1" w:rsidRPr="003110F1" w:rsidRDefault="002F58F1" w:rsidP="002F58F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Публикација установе (у штампаном или електронском облику, сајт институције)-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1.1</w:t>
            </w:r>
          </w:p>
        </w:tc>
      </w:tr>
    </w:tbl>
    <w:p w:rsidR="00377414" w:rsidRPr="002F58F1" w:rsidRDefault="00377414" w:rsidP="002F58F1">
      <w:pPr>
        <w:rPr>
          <w:lang w:val="sr-Cyrl-CS"/>
        </w:rPr>
      </w:pPr>
    </w:p>
    <w:sectPr w:rsidR="00377414" w:rsidRPr="002F58F1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7F" w:rsidRDefault="00B0577F" w:rsidP="00310C7D">
      <w:r>
        <w:separator/>
      </w:r>
    </w:p>
  </w:endnote>
  <w:endnote w:type="continuationSeparator" w:id="0">
    <w:p w:rsidR="00B0577F" w:rsidRDefault="00B0577F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0912"/>
      <w:docPartObj>
        <w:docPartGallery w:val="Page Numbers (Bottom of Page)"/>
        <w:docPartUnique/>
      </w:docPartObj>
    </w:sdtPr>
    <w:sdtContent>
      <w:p w:rsidR="00921AF4" w:rsidRDefault="00921AF4">
        <w:pPr>
          <w:pStyle w:val="Footer"/>
          <w:jc w:val="right"/>
        </w:pPr>
        <w:r w:rsidRPr="00921AF4">
          <w:rPr>
            <w:rFonts w:ascii="Arial" w:hAnsi="Arial" w:cs="Arial"/>
          </w:rPr>
          <w:t>4</w:t>
        </w:r>
      </w:p>
    </w:sdtContent>
  </w:sdt>
  <w:p w:rsidR="00921AF4" w:rsidRDefault="00921A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7F" w:rsidRDefault="00B0577F" w:rsidP="00310C7D">
      <w:r>
        <w:separator/>
      </w:r>
    </w:p>
  </w:footnote>
  <w:footnote w:type="continuationSeparator" w:id="0">
    <w:p w:rsidR="00B0577F" w:rsidRDefault="00B0577F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593" w:rsidRDefault="00900322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1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Default="00310C7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D5BA9"/>
    <w:rsid w:val="000D7915"/>
    <w:rsid w:val="00137D5F"/>
    <w:rsid w:val="00175C68"/>
    <w:rsid w:val="001C1DEF"/>
    <w:rsid w:val="002A08F1"/>
    <w:rsid w:val="002C65F4"/>
    <w:rsid w:val="002E7A7F"/>
    <w:rsid w:val="002F58F1"/>
    <w:rsid w:val="00310C7D"/>
    <w:rsid w:val="003641DE"/>
    <w:rsid w:val="00377414"/>
    <w:rsid w:val="004470F8"/>
    <w:rsid w:val="005636D2"/>
    <w:rsid w:val="00564262"/>
    <w:rsid w:val="00567E4E"/>
    <w:rsid w:val="00573F6A"/>
    <w:rsid w:val="005C7DC5"/>
    <w:rsid w:val="005E2FBC"/>
    <w:rsid w:val="005F195C"/>
    <w:rsid w:val="005F43BF"/>
    <w:rsid w:val="005F6E6B"/>
    <w:rsid w:val="00680D48"/>
    <w:rsid w:val="006841CD"/>
    <w:rsid w:val="006D2849"/>
    <w:rsid w:val="0071792F"/>
    <w:rsid w:val="007746B3"/>
    <w:rsid w:val="007D66A3"/>
    <w:rsid w:val="00846251"/>
    <w:rsid w:val="008974EE"/>
    <w:rsid w:val="008C5D81"/>
    <w:rsid w:val="00900322"/>
    <w:rsid w:val="00921AF4"/>
    <w:rsid w:val="009539B8"/>
    <w:rsid w:val="009C13AE"/>
    <w:rsid w:val="00A03593"/>
    <w:rsid w:val="00A963D3"/>
    <w:rsid w:val="00B0577F"/>
    <w:rsid w:val="00B4717B"/>
    <w:rsid w:val="00C85BA1"/>
    <w:rsid w:val="00CB5057"/>
    <w:rsid w:val="00CD34B8"/>
    <w:rsid w:val="00CF2CC2"/>
    <w:rsid w:val="00D34D77"/>
    <w:rsid w:val="00D92C3D"/>
    <w:rsid w:val="00DA6628"/>
    <w:rsid w:val="00DC5220"/>
    <w:rsid w:val="00E021E8"/>
    <w:rsid w:val="00E2780B"/>
    <w:rsid w:val="00F230CF"/>
    <w:rsid w:val="00F255B3"/>
    <w:rsid w:val="00F859A5"/>
    <w:rsid w:val="00F96B4A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KLAKON</Company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23</cp:revision>
  <cp:lastPrinted>2012-07-10T09:34:00Z</cp:lastPrinted>
  <dcterms:created xsi:type="dcterms:W3CDTF">2012-07-06T13:31:00Z</dcterms:created>
  <dcterms:modified xsi:type="dcterms:W3CDTF">2013-07-04T08:57:00Z</dcterms:modified>
</cp:coreProperties>
</file>